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0"/>
          <w:bCs w:val="0"/>
          <w:sz w:val="20"/>
          <w:szCs w:val="20"/>
          <w:vertAlign w:val="baseline"/>
        </w:rPr>
      </w:pPr>
      <w:bookmarkStart w:colFirst="0" w:colLast="0" w:name="_heading=h.3xpq885f7yne" w:id="0"/>
      <w:bookmarkEnd w:id="0"/>
      <w:r w:rsidDel="00000000" w:rsidR="00000000" w:rsidRPr="00000000">
        <w:rPr>
          <w:rFonts w:ascii="Times New Roman" w:cs="Times New Roman" w:eastAsia="Times New Roman" w:hAnsi="Times New Roman"/>
          <w:b w:val="1"/>
          <w:bCs w:val="1"/>
          <w:sz w:val="20"/>
          <w:szCs w:val="20"/>
          <w:vertAlign w:val="baseline"/>
          <w:rtl w:val="0"/>
        </w:rPr>
        <w:t xml:space="preserve">Table 5.2 </w:t>
      </w:r>
      <w:r w:rsidDel="00000000" w:rsidR="00000000" w:rsidRPr="00000000">
        <w:rPr>
          <w:rFonts w:ascii="Times New Roman" w:cs="Times New Roman" w:eastAsia="Times New Roman" w:hAnsi="Times New Roman"/>
          <w:sz w:val="20"/>
          <w:szCs w:val="20"/>
          <w:vertAlign w:val="baseline"/>
          <w:rtl w:val="0"/>
        </w:rPr>
        <w:t xml:space="preserve">Course Syllabus</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sz w:val="20"/>
          <w:szCs w:val="20"/>
          <w:vertAlign w:val="baseline"/>
        </w:rPr>
      </w:pPr>
      <w:r w:rsidDel="00000000" w:rsidR="00000000" w:rsidRPr="00000000">
        <w:rPr>
          <w:rtl w:val="0"/>
        </w:rPr>
      </w:r>
    </w:p>
    <w:tbl>
      <w:tblPr>
        <w:tblStyle w:val="Table1"/>
        <w:tblW w:w="1110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
        <w:gridCol w:w="3663"/>
        <w:gridCol w:w="2438"/>
        <w:gridCol w:w="1499"/>
        <w:gridCol w:w="2537"/>
        <w:gridCol w:w="950"/>
        <w:tblGridChange w:id="0">
          <w:tblGrid>
            <w:gridCol w:w="13"/>
            <w:gridCol w:w="3663"/>
            <w:gridCol w:w="2438"/>
            <w:gridCol w:w="1499"/>
            <w:gridCol w:w="2537"/>
            <w:gridCol w:w="950"/>
          </w:tblGrid>
        </w:tblGridChange>
      </w:tblGrid>
      <w:tr>
        <w:trPr>
          <w:cantSplit w:val="0"/>
          <w:trHeight w:val="227" w:hRule="atLeast"/>
          <w:tblHeader w:val="0"/>
        </w:trPr>
        <w:tc>
          <w:tcPr>
            <w:gridSpan w:val="6"/>
            <w:shd w:fill="f2f2f2" w:val="clear"/>
            <w:vAlign w:val="top"/>
          </w:tcPr>
          <w:p w:rsidR="00000000" w:rsidDel="00000000" w:rsidP="00000000" w:rsidRDefault="00000000" w:rsidRPr="00000000" w14:paraId="00000003">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Study Programme: Economics and Management</w:t>
            </w:r>
            <w:r w:rsidDel="00000000" w:rsidR="00000000" w:rsidRPr="00000000">
              <w:rPr>
                <w:rtl w:val="0"/>
              </w:rPr>
            </w:r>
          </w:p>
        </w:tc>
      </w:tr>
      <w:tr>
        <w:trPr>
          <w:cantSplit w:val="0"/>
          <w:trHeight w:val="227" w:hRule="atLeast"/>
          <w:tblHeader w:val="0"/>
        </w:trPr>
        <w:tc>
          <w:tcPr>
            <w:gridSpan w:val="6"/>
            <w:shd w:fill="f2f2f2" w:val="clear"/>
            <w:vAlign w:val="top"/>
          </w:tcPr>
          <w:p w:rsidR="00000000" w:rsidDel="00000000" w:rsidP="00000000" w:rsidRDefault="00000000" w:rsidRPr="00000000" w14:paraId="00000009">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Course Title: </w:t>
            </w:r>
            <w:r w:rsidDel="00000000" w:rsidR="00000000" w:rsidRPr="00000000">
              <w:rPr>
                <w:rFonts w:ascii="Times New Roman" w:cs="Times New Roman" w:eastAsia="Times New Roman" w:hAnsi="Times New Roman"/>
                <w:b w:val="1"/>
                <w:bCs w:val="1"/>
                <w:sz w:val="18"/>
                <w:szCs w:val="18"/>
                <w:rtl w:val="0"/>
              </w:rPr>
              <w:t xml:space="preserve">National Economy</w:t>
            </w:r>
            <w:r w:rsidDel="00000000" w:rsidR="00000000" w:rsidRPr="00000000">
              <w:rPr>
                <w:rtl w:val="0"/>
              </w:rPr>
            </w:r>
          </w:p>
        </w:tc>
      </w:tr>
      <w:tr>
        <w:trPr>
          <w:cantSplit w:val="0"/>
          <w:trHeight w:val="227" w:hRule="atLeast"/>
          <w:tblHeader w:val="0"/>
        </w:trPr>
        <w:tc>
          <w:tcPr>
            <w:gridSpan w:val="6"/>
            <w:shd w:fill="f2f2f2" w:val="clear"/>
            <w:vAlign w:val="top"/>
          </w:tcPr>
          <w:p w:rsidR="00000000" w:rsidDel="00000000" w:rsidP="00000000" w:rsidRDefault="00000000" w:rsidRPr="00000000" w14:paraId="0000000F">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Lecturer(s): </w:t>
            </w:r>
            <w:r w:rsidDel="00000000" w:rsidR="00000000" w:rsidRPr="00000000">
              <w:rPr>
                <w:rFonts w:ascii="Times New Roman" w:cs="Times New Roman" w:eastAsia="Times New Roman" w:hAnsi="Times New Roman"/>
                <w:sz w:val="20"/>
                <w:szCs w:val="20"/>
                <w:vertAlign w:val="baseline"/>
                <w:rtl w:val="0"/>
              </w:rPr>
              <w:t xml:space="preserve">Marija Petrović Randjelović, PhD; Vladislav Marjanović, PhD</w:t>
            </w:r>
          </w:p>
        </w:tc>
      </w:tr>
      <w:tr>
        <w:trPr>
          <w:cantSplit w:val="0"/>
          <w:trHeight w:val="227" w:hRule="atLeast"/>
          <w:tblHeader w:val="0"/>
        </w:trPr>
        <w:tc>
          <w:tcPr>
            <w:gridSpan w:val="6"/>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15">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Status of the Course: </w:t>
            </w:r>
            <w:r w:rsidDel="00000000" w:rsidR="00000000" w:rsidRPr="00000000">
              <w:rPr>
                <w:rFonts w:ascii="Times New Roman" w:cs="Times New Roman" w:eastAsia="Times New Roman" w:hAnsi="Times New Roman"/>
                <w:sz w:val="20"/>
                <w:szCs w:val="20"/>
                <w:vertAlign w:val="baseline"/>
                <w:rtl w:val="0"/>
              </w:rPr>
              <w:t xml:space="preserve">Compulsory/Elective</w:t>
            </w:r>
          </w:p>
        </w:tc>
      </w:tr>
      <w:tr>
        <w:trPr>
          <w:cantSplit w:val="0"/>
          <w:trHeight w:val="227" w:hRule="atLeast"/>
          <w:tblHeader w:val="0"/>
        </w:trPr>
        <w:tc>
          <w:tcPr>
            <w:gridSpan w:val="6"/>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1B">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Number of ECTS Credits: </w:t>
            </w:r>
            <w:r w:rsidDel="00000000" w:rsidR="00000000" w:rsidRPr="00000000">
              <w:rPr>
                <w:rFonts w:ascii="Times New Roman" w:cs="Times New Roman" w:eastAsia="Times New Roman" w:hAnsi="Times New Roman"/>
                <w:sz w:val="20"/>
                <w:szCs w:val="20"/>
                <w:vertAlign w:val="baseline"/>
                <w:rtl w:val="0"/>
              </w:rPr>
              <w:t xml:space="preserve">7</w:t>
            </w:r>
          </w:p>
        </w:tc>
      </w:tr>
      <w:tr>
        <w:trPr>
          <w:cantSplit w:val="0"/>
          <w:trHeight w:val="227" w:hRule="atLeast"/>
          <w:tblHeader w:val="0"/>
        </w:trPr>
        <w:tc>
          <w:tcPr>
            <w:gridSpan w:val="6"/>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21">
            <w:pPr>
              <w:tabs>
                <w:tab w:val="left" w:leader="none" w:pos="567"/>
              </w:tabs>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Prerequisites:</w:t>
            </w:r>
            <w:r w:rsidDel="00000000" w:rsidR="00000000" w:rsidRPr="00000000">
              <w:rPr>
                <w:rtl w:val="0"/>
              </w:rPr>
            </w:r>
          </w:p>
        </w:tc>
      </w:tr>
      <w:tr>
        <w:trPr>
          <w:cantSplit w:val="0"/>
          <w:trHeight w:val="227" w:hRule="atLeast"/>
          <w:tblHeader w:val="0"/>
        </w:trPr>
        <w:tc>
          <w:tcPr>
            <w:gridSpan w:val="6"/>
            <w:vAlign w:val="center"/>
          </w:tcPr>
          <w:p w:rsidR="00000000" w:rsidDel="00000000" w:rsidP="00000000" w:rsidRDefault="00000000" w:rsidRPr="00000000" w14:paraId="00000027">
            <w:pPr>
              <w:pStyle w:val="Heading2"/>
              <w:spacing w:after="0" w:before="0" w:lineRule="auto"/>
              <w:rPr>
                <w:b w:val="0"/>
                <w:bCs w:val="0"/>
                <w:sz w:val="20"/>
                <w:szCs w:val="20"/>
                <w:vertAlign w:val="baseline"/>
              </w:rPr>
            </w:pPr>
            <w:r w:rsidDel="00000000" w:rsidR="00000000" w:rsidRPr="00000000">
              <w:rPr>
                <w:b w:val="0"/>
                <w:bCs w:val="0"/>
                <w:sz w:val="20"/>
                <w:szCs w:val="20"/>
                <w:vertAlign w:val="baseline"/>
                <w:rtl w:val="0"/>
              </w:rPr>
              <w:t xml:space="preserve">Course Objectives</w:t>
            </w:r>
          </w:p>
          <w:p w:rsidR="00000000" w:rsidDel="00000000" w:rsidP="00000000" w:rsidRDefault="00000000" w:rsidRPr="00000000" w14:paraId="00000028">
            <w:pPr>
              <w:pStyle w:val="Heading2"/>
              <w:spacing w:after="0" w:before="0" w:lineRule="auto"/>
              <w:rPr>
                <w:b w:val="0"/>
                <w:bCs w:val="0"/>
                <w:sz w:val="20"/>
                <w:szCs w:val="20"/>
                <w:vertAlign w:val="baseline"/>
              </w:rPr>
            </w:pPr>
            <w:r w:rsidDel="00000000" w:rsidR="00000000" w:rsidRPr="00000000">
              <w:rPr>
                <w:b w:val="0"/>
                <w:bCs w:val="0"/>
                <w:sz w:val="20"/>
                <w:szCs w:val="20"/>
                <w:vertAlign w:val="baseline"/>
                <w:rtl w:val="0"/>
              </w:rPr>
              <w:t xml:space="preserve">A fundamental macroeconomics course that connects theoretical knowledge with the analysis of real economic policies and contemporary development challenges. The aim of the course is to enable students to understand the national economy as a complex macroeconomic system, its structure, functioning and management in the context of contemporary global economic changes.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Special emphasis is placed on:</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analysis of the interaction between economic structure, institutional framework and economic policy,</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understanding the impact of the international economic environment,</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developing the ability to analyze and create development and macroeconomic policies.</w:t>
            </w:r>
          </w:p>
        </w:tc>
      </w:tr>
      <w:tr>
        <w:trPr>
          <w:cantSplit w:val="0"/>
          <w:trHeight w:val="227" w:hRule="atLeast"/>
          <w:tblHeader w:val="0"/>
        </w:trPr>
        <w:tc>
          <w:tcPr>
            <w:gridSpan w:val="6"/>
            <w:vAlign w:val="center"/>
          </w:tcPr>
          <w:p w:rsidR="00000000" w:rsidDel="00000000" w:rsidP="00000000" w:rsidRDefault="00000000" w:rsidRPr="00000000" w14:paraId="00000032">
            <w:pPr>
              <w:pStyle w:val="Heading2"/>
              <w:spacing w:after="0" w:before="0" w:lineRule="auto"/>
              <w:rPr>
                <w:sz w:val="20"/>
                <w:szCs w:val="20"/>
                <w:vertAlign w:val="baseline"/>
              </w:rPr>
            </w:pPr>
            <w:r w:rsidDel="00000000" w:rsidR="00000000" w:rsidRPr="00000000">
              <w:rPr>
                <w:b w:val="0"/>
                <w:bCs w:val="0"/>
                <w:sz w:val="20"/>
                <w:szCs w:val="20"/>
                <w:vertAlign w:val="baseline"/>
                <w:rtl w:val="0"/>
              </w:rPr>
              <w:t xml:space="preserve">Learning Outcomes</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Upon completion of the course, students will be able to:</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(LO1)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Explain the national economy as a system and identify its key components.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(LO2)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Understand and interpret basic macroeconomic indicators.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(LO3)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Analyze the economic structure and processes of structural transformation.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(LO4)</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Understand the role of institutions and the economic system in economic development.</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(LO5)</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Explain the mechanisms and instruments of economic policy.</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(LO6)</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Understand the impact of international economic relations on the national economy.</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(LO7)</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Analyze the macroeconomic performance of a country (with a focus on the Republic of Serbia).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(LO8)</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Critically examine the effects of economic policies.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(LO9)</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Connect theoretical knowledge with empirical data.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(LO10)</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Identify key development problems and propose possible solutions.</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(LO11)</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Analyze contemporary economic challenges independently and in a team.</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(LO12)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Make reasoned conclusions about development strategies.</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(LO13)</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Understand the role of economists in creating public policies.</w:t>
            </w:r>
          </w:p>
        </w:tc>
      </w:tr>
      <w:tr>
        <w:trPr>
          <w:cantSplit w:val="0"/>
          <w:trHeight w:val="227" w:hRule="atLeast"/>
          <w:tblHeader w:val="0"/>
        </w:trPr>
        <w:tc>
          <w:tcPr>
            <w:gridSpan w:val="6"/>
            <w:vAlign w:val="top"/>
          </w:tcPr>
          <w:p w:rsidR="00000000" w:rsidDel="00000000" w:rsidP="00000000" w:rsidRDefault="00000000" w:rsidRPr="00000000" w14:paraId="00000046">
            <w:pP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Course Content</w:t>
            </w: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i w:val="0"/>
                <w:iCs w:val="0"/>
                <w:sz w:val="20"/>
                <w:szCs w:val="20"/>
                <w:vertAlign w:val="baseline"/>
              </w:rPr>
            </w:pPr>
            <w:r w:rsidDel="00000000" w:rsidR="00000000" w:rsidRPr="00000000">
              <w:rPr>
                <w:rFonts w:ascii="Times New Roman" w:cs="Times New Roman" w:eastAsia="Times New Roman" w:hAnsi="Times New Roman"/>
                <w:i w:val="1"/>
                <w:iCs w:val="1"/>
                <w:sz w:val="20"/>
                <w:szCs w:val="20"/>
                <w:vertAlign w:val="baseline"/>
                <w:rtl w:val="0"/>
              </w:rPr>
              <w:t xml:space="preserve">Theoretical teaching:</w:t>
            </w: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PART I: NATIONAL ECONOMY – THEORETICAL REVIEW</w:t>
            </w:r>
          </w:p>
          <w:p w:rsidR="00000000" w:rsidDel="00000000" w:rsidP="00000000" w:rsidRDefault="00000000" w:rsidRPr="00000000" w14:paraId="00000049">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PART II: MACROECONOMIC AGGREGATES AND THEIR ANALYTICAL USE</w:t>
            </w:r>
          </w:p>
          <w:p w:rsidR="00000000" w:rsidDel="00000000" w:rsidP="00000000" w:rsidRDefault="00000000" w:rsidRPr="00000000" w14:paraId="0000004A">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PART III MATERIAL AND HUMAN CONDITIONS OF NATIONAL ECONOMY DEVELOPMENT</w:t>
            </w:r>
          </w:p>
          <w:p w:rsidR="00000000" w:rsidDel="00000000" w:rsidP="00000000" w:rsidRDefault="00000000" w:rsidRPr="00000000" w14:paraId="0000004B">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PART IV: ECONOMIC STRUCTURE AND STRUCTURAL TRANSFORMATION</w:t>
            </w:r>
          </w:p>
          <w:p w:rsidR="00000000" w:rsidDel="00000000" w:rsidP="00000000" w:rsidRDefault="00000000" w:rsidRPr="00000000" w14:paraId="0000004C">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PART V: REGIONAL DEVELOPMENT PROBLEMS AND REGIONAL POLICY</w:t>
            </w:r>
          </w:p>
          <w:p w:rsidR="00000000" w:rsidDel="00000000" w:rsidP="00000000" w:rsidRDefault="00000000" w:rsidRPr="00000000" w14:paraId="0000004D">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PART VI: ECONOMIC SYSTEM AND POLICY</w:t>
            </w:r>
          </w:p>
          <w:p w:rsidR="00000000" w:rsidDel="00000000" w:rsidP="00000000" w:rsidRDefault="00000000" w:rsidRPr="00000000" w14:paraId="0000004E">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PART VII: INTERNATIONAL ECONOMIC RELATIONS AND NATIONAL ECONOMY</w:t>
            </w:r>
          </w:p>
          <w:p w:rsidR="00000000" w:rsidDel="00000000" w:rsidP="00000000" w:rsidRDefault="00000000" w:rsidRPr="00000000" w14:paraId="0000004F">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PART VIII: TECHNOLOGICAL PROGRESS, INNOVATION AND NATIONAL ECONOMY</w:t>
            </w:r>
          </w:p>
          <w:p w:rsidR="00000000" w:rsidDel="00000000" w:rsidP="00000000" w:rsidRDefault="00000000" w:rsidRPr="00000000" w14:paraId="00000050">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PART IX: DEVELOPMENT STRATEGY THE REPUBLIC OF SERBIA IN THE CONDITIONS OF MULTIPLE TRANSITION</w:t>
            </w:r>
          </w:p>
          <w:p w:rsidR="00000000" w:rsidDel="00000000" w:rsidP="00000000" w:rsidRDefault="00000000" w:rsidRPr="00000000" w14:paraId="00000051">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PART X: MODERN DEVELOPMENT PROBLEMS AND CHALLENGES OF THE REPUBLIC OF SERBIA</w:t>
            </w:r>
          </w:p>
          <w:p w:rsidR="00000000" w:rsidDel="00000000" w:rsidP="00000000" w:rsidRDefault="00000000" w:rsidRPr="00000000" w14:paraId="00000052">
            <w:pPr>
              <w:rPr>
                <w:rFonts w:ascii="Times New Roman" w:cs="Times New Roman" w:eastAsia="Times New Roman" w:hAnsi="Times New Roman"/>
                <w:i w:val="0"/>
                <w:iCs w:val="0"/>
                <w:sz w:val="20"/>
                <w:szCs w:val="20"/>
                <w:vertAlign w:val="baseline"/>
              </w:rPr>
            </w:pPr>
            <w:r w:rsidDel="00000000" w:rsidR="00000000" w:rsidRPr="00000000">
              <w:rPr>
                <w:rFonts w:ascii="Times New Roman" w:cs="Times New Roman" w:eastAsia="Times New Roman" w:hAnsi="Times New Roman"/>
                <w:i w:val="1"/>
                <w:iCs w:val="1"/>
                <w:sz w:val="20"/>
                <w:szCs w:val="20"/>
                <w:vertAlign w:val="baseline"/>
                <w:rtl w:val="0"/>
              </w:rPr>
              <w:t xml:space="preserve">Practical teaching</w:t>
            </w: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 Analysis of economic development and the economic system of Serbia, analysis of structural imbalances in the Serbian economy, analysis of the main causes and consequences of regional development, practical application of quantitative analysis and tools, analysis of Serbia's foreign economic relations, analysis of Serbia's competitiveness, comparative analysis of global economic trends and their impact on Serbia's economic development, analysis of the main strategic goals and directions of Serbia's development strategy.</w:t>
            </w:r>
          </w:p>
        </w:tc>
      </w:tr>
      <w:tr>
        <w:trPr>
          <w:cantSplit w:val="0"/>
          <w:trHeight w:val="227" w:hRule="atLeast"/>
          <w:tblHeader w:val="0"/>
        </w:trPr>
        <w:tc>
          <w:tcPr>
            <w:gridSpan w:val="6"/>
            <w:vAlign w:val="top"/>
          </w:tcPr>
          <w:p w:rsidR="00000000" w:rsidDel="00000000" w:rsidP="00000000" w:rsidRDefault="00000000" w:rsidRPr="00000000" w14:paraId="00000059">
            <w:pP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Literature</w:t>
            </w: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 Arandjelović, Z., Marjanović, V., Petrović Randjelović, M. (2020). National economy. Faculty of Economics University of Niš.</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60">
            <w:pPr>
              <w:pStyle w:val="Heading2"/>
              <w:spacing w:after="0" w:before="0" w:lineRule="auto"/>
              <w:rPr>
                <w:b w:val="0"/>
                <w:bCs w:val="0"/>
                <w:sz w:val="20"/>
                <w:szCs w:val="20"/>
                <w:vertAlign w:val="baseline"/>
              </w:rPr>
            </w:pPr>
            <w:r w:rsidDel="00000000" w:rsidR="00000000" w:rsidRPr="00000000">
              <w:rPr>
                <w:b w:val="1"/>
                <w:bCs w:val="1"/>
                <w:sz w:val="20"/>
                <w:szCs w:val="20"/>
                <w:vertAlign w:val="baseline"/>
                <w:rtl w:val="0"/>
              </w:rPr>
              <w:t xml:space="preserve">Contact Hours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62">
            <w:pPr>
              <w:tabs>
                <w:tab w:val="left" w:leader="none" w:pos="567"/>
              </w:tabs>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Theoretical Classes: 3</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64">
            <w:pPr>
              <w:tabs>
                <w:tab w:val="left" w:leader="none" w:pos="567"/>
              </w:tabs>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Practical Classes: 2</w:t>
            </w:r>
            <w:r w:rsidDel="00000000" w:rsidR="00000000" w:rsidRPr="00000000">
              <w:rPr>
                <w:rtl w:val="0"/>
              </w:rPr>
            </w:r>
          </w:p>
        </w:tc>
      </w:tr>
      <w:tr>
        <w:trPr>
          <w:cantSplit w:val="0"/>
          <w:trHeight w:val="227" w:hRule="atLeast"/>
          <w:tblHeader w:val="0"/>
        </w:trPr>
        <w:tc>
          <w:tcPr>
            <w:gridSpan w:val="6"/>
            <w:vAlign w:val="center"/>
          </w:tcPr>
          <w:p w:rsidR="00000000" w:rsidDel="00000000" w:rsidP="00000000" w:rsidRDefault="00000000" w:rsidRPr="00000000" w14:paraId="00000066">
            <w:pPr>
              <w:pStyle w:val="Heading2"/>
              <w:spacing w:after="0" w:before="0" w:lineRule="auto"/>
              <w:rPr>
                <w:b w:val="0"/>
                <w:bCs w:val="0"/>
                <w:sz w:val="20"/>
                <w:szCs w:val="20"/>
                <w:vertAlign w:val="baseline"/>
              </w:rPr>
            </w:pPr>
            <w:r w:rsidDel="00000000" w:rsidR="00000000" w:rsidRPr="00000000">
              <w:rPr>
                <w:b w:val="1"/>
                <w:bCs w:val="1"/>
                <w:sz w:val="20"/>
                <w:szCs w:val="20"/>
                <w:vertAlign w:val="baseline"/>
                <w:rtl w:val="0"/>
              </w:rPr>
              <w:t xml:space="preserve">Teaching Methods</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(M1) Monologue method (ex cathedra lectures) - presentation of basic problems on the previously mentioned topics, which includes introducing students to the basic objectives of studying the given subject, presenting the main problems, graphic illustrations and familiarizing them with characteristic questions that appear on the exam;</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(M2) Dialogical method (discussion in class) - discussion of the presented problems, consideration of possible solutions to individual cases and interpretation of the obtained results;</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(M3) Demonstration method - lectures using presentations;</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(M4) Research method - seminars, research tasks</w:t>
            </w:r>
          </w:p>
          <w:p w:rsidR="00000000" w:rsidDel="00000000" w:rsidP="00000000" w:rsidRDefault="00000000" w:rsidRPr="00000000" w14:paraId="0000006B">
            <w:pP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0"/>
                <w:bCs w:val="0"/>
                <w:sz w:val="20"/>
                <w:szCs w:val="20"/>
                <w:vertAlign w:val="baseline"/>
                <w:rtl w:val="0"/>
              </w:rPr>
              <w:t xml:space="preserve">(M5) Case study - analysis of cases in order to connect elaborated concepts, methods and techniques with real problems;</w:t>
            </w:r>
          </w:p>
          <w:p w:rsidR="00000000" w:rsidDel="00000000" w:rsidP="00000000" w:rsidRDefault="00000000" w:rsidRPr="00000000" w14:paraId="0000006C">
            <w:pPr>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6D">
            <w:pPr>
              <w:jc w:val="center"/>
              <w:rPr>
                <w:rFonts w:ascii="Times New Roman" w:cs="Times New Roman" w:eastAsia="Times New Roman" w:hAnsi="Times New Roman"/>
                <w:i w:val="0"/>
                <w:iCs w:val="0"/>
                <w:sz w:val="20"/>
                <w:szCs w:val="20"/>
                <w:vertAlign w:val="baseline"/>
              </w:rPr>
            </w:pPr>
            <w:r w:rsidDel="00000000" w:rsidR="00000000" w:rsidRPr="00000000">
              <w:rPr>
                <w:rFonts w:ascii="Times New Roman" w:cs="Times New Roman" w:eastAsia="Times New Roman" w:hAnsi="Times New Roman"/>
                <w:i w:val="1"/>
                <w:iCs w:val="1"/>
                <w:sz w:val="20"/>
                <w:szCs w:val="20"/>
                <w:vertAlign w:val="baseline"/>
                <w:rtl w:val="0"/>
              </w:rPr>
              <w:t xml:space="preserve">Alignment of Learning Outcomes, Methods, and Assessment</w:t>
            </w:r>
            <w:r w:rsidDel="00000000" w:rsidR="00000000" w:rsidRPr="00000000">
              <w:rPr>
                <w:rtl w:val="0"/>
              </w:rPr>
            </w:r>
          </w:p>
          <w:tbl>
            <w:tblPr>
              <w:tblStyle w:val="Table2"/>
              <w:tblW w:w="11152.0" w:type="dxa"/>
              <w:jc w:val="left"/>
              <w:tblInd w:w="4.0" w:type="dxa"/>
              <w:tblLayout w:type="fixed"/>
              <w:tblLook w:val="0000"/>
            </w:tblPr>
            <w:tblGrid>
              <w:gridCol w:w="3071"/>
              <w:gridCol w:w="3071"/>
              <w:gridCol w:w="5010"/>
              <w:tblGridChange w:id="0">
                <w:tblGrid>
                  <w:gridCol w:w="3071"/>
                  <w:gridCol w:w="3071"/>
                  <w:gridCol w:w="5010"/>
                </w:tblGrid>
              </w:tblGridChange>
            </w:tblGrid>
            <w:tr>
              <w:trPr>
                <w:cantSplit w:val="0"/>
                <w:trHeight w:val="324"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E">
                  <w:pPr>
                    <w:jc w:val="cente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Learning Outcomes</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6F">
                  <w:pPr>
                    <w:jc w:val="cente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Teaching Methods</w:t>
                  </w: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70">
                  <w:pPr>
                    <w:jc w:val="center"/>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Assessment</w:t>
                  </w:r>
                  <w:r w:rsidDel="00000000" w:rsidR="00000000" w:rsidRPr="00000000">
                    <w:rPr>
                      <w:rtl w:val="0"/>
                    </w:rPr>
                  </w:r>
                </w:p>
              </w:tc>
            </w:tr>
            <w:tr>
              <w:trPr>
                <w:cantSplit w:val="0"/>
                <w:trHeight w:val="324"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71">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LO1</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72">
                  <w:pPr>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М1, М3, М5</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73">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Colloquium, class activities, seminars</w:t>
                  </w:r>
                </w:p>
              </w:tc>
            </w:tr>
            <w:tr>
              <w:trPr>
                <w:cantSplit w:val="0"/>
                <w:trHeight w:val="324"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74">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LO2</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75">
                  <w:pPr>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М1, М3, М5</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76">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Colloquium, class activities, seminars</w:t>
                  </w:r>
                </w:p>
              </w:tc>
            </w:tr>
            <w:tr>
              <w:trPr>
                <w:cantSplit w:val="0"/>
                <w:trHeight w:val="324"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77">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LO3</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78">
                  <w:pPr>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М1, М3, М5</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79">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Colloquium, class activities, seminars</w:t>
                  </w:r>
                </w:p>
              </w:tc>
            </w:tr>
            <w:tr>
              <w:trPr>
                <w:cantSplit w:val="0"/>
                <w:trHeight w:val="324"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7A">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LO4</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7B">
                  <w:pPr>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М1, М3, М5</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7C">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Colloquium, class activities, seminars</w:t>
                  </w:r>
                </w:p>
              </w:tc>
            </w:tr>
            <w:tr>
              <w:trPr>
                <w:cantSplit w:val="0"/>
                <w:trHeight w:val="324"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7D">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LO5</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7E">
                  <w:pPr>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М1, М3, М5</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7F">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Colloquium, class activities, seminars</w:t>
                  </w:r>
                </w:p>
              </w:tc>
            </w:tr>
            <w:tr>
              <w:trPr>
                <w:cantSplit w:val="0"/>
                <w:trHeight w:val="324"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80">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LO6</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81">
                  <w:pPr>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М1, М2, М3, М5</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82">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Colloquium, class activities, seminars</w:t>
                  </w:r>
                </w:p>
              </w:tc>
            </w:tr>
            <w:tr>
              <w:trPr>
                <w:cantSplit w:val="0"/>
                <w:trHeight w:val="218"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83">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LO7</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84">
                  <w:pPr>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М1, М3, М5</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85">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Colloquium, class activities, seminars</w:t>
                  </w:r>
                </w:p>
              </w:tc>
            </w:tr>
            <w:tr>
              <w:trPr>
                <w:cantSplit w:val="0"/>
                <w:trHeight w:val="266"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86">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LO8</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87">
                  <w:pPr>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М2, M4, М5</w:t>
                  </w:r>
                </w:p>
              </w:tc>
              <w:tc>
                <w:tcPr>
                  <w:tcBorders>
                    <w:top w:color="000000" w:space="0" w:sz="0" w:val="nil"/>
                    <w:left w:color="000000" w:space="0" w:sz="0" w:val="nil"/>
                    <w:bottom w:color="000000" w:space="0" w:sz="8" w:val="single"/>
                    <w:right w:color="000000" w:space="0" w:sz="8" w:val="single"/>
                  </w:tcBorders>
                  <w:vAlign w:val="center"/>
                </w:tcPr>
                <w:p w:rsidR="00000000" w:rsidDel="00000000" w:rsidP="00000000" w:rsidRDefault="00000000" w:rsidRPr="00000000" w14:paraId="00000088">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Final exam, practical classes, class activities, seminars</w:t>
                  </w:r>
                </w:p>
              </w:tc>
            </w:tr>
            <w:tr>
              <w:trPr>
                <w:cantSplit w:val="0"/>
                <w:trHeight w:val="324"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89">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LO9</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8A">
                  <w:pPr>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М5</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8B">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Practical teaching, class activities</w:t>
                  </w:r>
                </w:p>
              </w:tc>
            </w:tr>
            <w:tr>
              <w:trPr>
                <w:cantSplit w:val="0"/>
                <w:trHeight w:val="324"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8C">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LO10</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8D">
                  <w:pPr>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М2, M4, М5</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8E">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Practical teaching, class activities</w:t>
                  </w:r>
                </w:p>
              </w:tc>
            </w:tr>
            <w:tr>
              <w:trPr>
                <w:cantSplit w:val="0"/>
                <w:trHeight w:val="324"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8F">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LO11</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90">
                  <w:pPr>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М2, M4, М5</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91">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Practical teaching, class activities</w:t>
                  </w:r>
                </w:p>
              </w:tc>
            </w:tr>
            <w:tr>
              <w:trPr>
                <w:cantSplit w:val="0"/>
                <w:trHeight w:val="324"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92">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LO12</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93">
                  <w:pPr>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М2, M4, М5</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94">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Practical teaching, class activities</w:t>
                  </w:r>
                </w:p>
              </w:tc>
            </w:tr>
            <w:tr>
              <w:trPr>
                <w:cantSplit w:val="0"/>
                <w:trHeight w:val="324" w:hRule="atLeast"/>
                <w:tblHeader w:val="0"/>
              </w:trPr>
              <w:tc>
                <w:tcPr>
                  <w:tcBorders>
                    <w:top w:color="000000" w:space="0" w:sz="0" w:val="nil"/>
                    <w:left w:color="000000" w:space="0" w:sz="8" w:val="single"/>
                    <w:bottom w:color="000000" w:space="0" w:sz="8" w:val="single"/>
                    <w:right w:color="000000" w:space="0" w:sz="8" w:val="single"/>
                  </w:tcBorders>
                  <w:vAlign w:val="center"/>
                </w:tcPr>
                <w:p w:rsidR="00000000" w:rsidDel="00000000" w:rsidP="00000000" w:rsidRDefault="00000000" w:rsidRPr="00000000" w14:paraId="00000095">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LO13</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96">
                  <w:pPr>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М2, M4, М5</w:t>
                  </w:r>
                </w:p>
              </w:tc>
              <w:tc>
                <w:tcPr>
                  <w:tcBorders>
                    <w:top w:color="000000" w:space="0" w:sz="0" w:val="nil"/>
                    <w:left w:color="000000" w:space="0" w:sz="0" w:val="nil"/>
                    <w:bottom w:color="000000" w:space="0" w:sz="8" w:val="single"/>
                    <w:right w:color="000000" w:space="0" w:sz="8" w:val="single"/>
                  </w:tcBorders>
                  <w:vAlign w:val="top"/>
                </w:tcPr>
                <w:p w:rsidR="00000000" w:rsidDel="00000000" w:rsidP="00000000" w:rsidRDefault="00000000" w:rsidRPr="00000000" w14:paraId="00000097">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Practical teaching, class activities</w:t>
                  </w:r>
                </w:p>
              </w:tc>
            </w:tr>
          </w:tbl>
          <w:p w:rsidR="00000000" w:rsidDel="00000000" w:rsidP="00000000" w:rsidRDefault="00000000" w:rsidRPr="00000000" w14:paraId="00000098">
            <w:pPr>
              <w:tabs>
                <w:tab w:val="left" w:leader="none" w:pos="567"/>
              </w:tabs>
              <w:rPr>
                <w:rFonts w:ascii="Times New Roman" w:cs="Times New Roman" w:eastAsia="Times New Roman" w:hAnsi="Times New Roman"/>
                <w:sz w:val="20"/>
                <w:szCs w:val="20"/>
                <w:vertAlign w:val="baseline"/>
              </w:rPr>
            </w:pPr>
            <w:r w:rsidDel="00000000" w:rsidR="00000000" w:rsidRPr="00000000">
              <w:rPr>
                <w:rtl w:val="0"/>
              </w:rPr>
            </w:r>
          </w:p>
        </w:tc>
      </w:tr>
      <w:tr>
        <w:trPr>
          <w:cantSplit w:val="0"/>
          <w:trHeight w:val="227" w:hRule="atLeast"/>
          <w:tblHeader w:val="0"/>
        </w:trPr>
        <w:tc>
          <w:tcPr>
            <w:gridSpan w:val="6"/>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09E">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Assessment Methods (maximum number of points 100)</w:t>
            </w: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4">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Pre-Examination Obligations</w:t>
            </w:r>
            <w:r w:rsidDel="00000000" w:rsidR="00000000" w:rsidRPr="00000000">
              <w:rPr>
                <w:rtl w:val="0"/>
              </w:rPr>
            </w:r>
          </w:p>
        </w:tc>
        <w:tc>
          <w:tcPr>
            <w:vAlign w:val="top"/>
          </w:tcPr>
          <w:p w:rsidR="00000000" w:rsidDel="00000000" w:rsidP="00000000" w:rsidRDefault="00000000" w:rsidRPr="00000000" w14:paraId="000000A6">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Points</w:t>
            </w:r>
          </w:p>
        </w:tc>
        <w:tc>
          <w:tcPr>
            <w:gridSpan w:val="2"/>
            <w:vAlign w:val="top"/>
          </w:tcPr>
          <w:p w:rsidR="00000000" w:rsidDel="00000000" w:rsidP="00000000" w:rsidRDefault="00000000" w:rsidRPr="00000000" w14:paraId="000000A7">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Final exam</w:t>
            </w:r>
          </w:p>
        </w:tc>
        <w:tc>
          <w:tcPr>
            <w:vAlign w:val="top"/>
          </w:tcPr>
          <w:p w:rsidR="00000000" w:rsidDel="00000000" w:rsidP="00000000" w:rsidRDefault="00000000" w:rsidRPr="00000000" w14:paraId="000000A9">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Points</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AA">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Class participation</w:t>
            </w:r>
          </w:p>
        </w:tc>
        <w:tc>
          <w:tcPr>
            <w:vAlign w:val="top"/>
          </w:tcPr>
          <w:p w:rsidR="00000000" w:rsidDel="00000000" w:rsidP="00000000" w:rsidRDefault="00000000" w:rsidRPr="00000000" w14:paraId="000000AC">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20</w:t>
            </w:r>
          </w:p>
        </w:tc>
        <w:tc>
          <w:tcPr>
            <w:gridSpan w:val="2"/>
            <w:vAlign w:val="top"/>
          </w:tcPr>
          <w:p w:rsidR="00000000" w:rsidDel="00000000" w:rsidP="00000000" w:rsidRDefault="00000000" w:rsidRPr="00000000" w14:paraId="000000AD">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Written exam</w:t>
            </w:r>
          </w:p>
        </w:tc>
        <w:tc>
          <w:tcPr>
            <w:vAlign w:val="top"/>
          </w:tcPr>
          <w:p w:rsidR="00000000" w:rsidDel="00000000" w:rsidP="00000000" w:rsidRDefault="00000000" w:rsidRPr="00000000" w14:paraId="000000AF">
            <w:pPr>
              <w:rPr>
                <w:rFonts w:ascii="Times New Roman" w:cs="Times New Roman" w:eastAsia="Times New Roman" w:hAnsi="Times New Roman"/>
                <w:sz w:val="20"/>
                <w:szCs w:val="20"/>
                <w:vertAlign w:val="baseline"/>
              </w:rPr>
            </w:pPr>
            <w:r w:rsidDel="00000000" w:rsidR="00000000" w:rsidRPr="00000000">
              <w:rPr>
                <w:rtl w:val="0"/>
              </w:rPr>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0">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Mid-term exams</w:t>
            </w:r>
          </w:p>
        </w:tc>
        <w:tc>
          <w:tcPr>
            <w:vAlign w:val="top"/>
          </w:tcPr>
          <w:p w:rsidR="00000000" w:rsidDel="00000000" w:rsidP="00000000" w:rsidRDefault="00000000" w:rsidRPr="00000000" w14:paraId="000000B2">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20</w:t>
            </w:r>
          </w:p>
        </w:tc>
        <w:tc>
          <w:tcPr>
            <w:gridSpan w:val="2"/>
            <w:vAlign w:val="top"/>
          </w:tcPr>
          <w:p w:rsidR="00000000" w:rsidDel="00000000" w:rsidP="00000000" w:rsidRDefault="00000000" w:rsidRPr="00000000" w14:paraId="000000B3">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Oral exam: 50</w:t>
            </w:r>
          </w:p>
        </w:tc>
        <w:tc>
          <w:tcPr>
            <w:vAlign w:val="top"/>
          </w:tcPr>
          <w:p w:rsidR="00000000" w:rsidDel="00000000" w:rsidP="00000000" w:rsidRDefault="00000000" w:rsidRPr="00000000" w14:paraId="000000B5">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50</w:t>
            </w:r>
          </w:p>
        </w:tc>
      </w:tr>
      <w:tr>
        <w:trPr>
          <w:cantSplit w:val="0"/>
          <w:trHeight w:val="227"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6">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Term papers </w:t>
            </w:r>
          </w:p>
        </w:tc>
        <w:tc>
          <w:tcPr>
            <w:vAlign w:val="top"/>
          </w:tcPr>
          <w:p w:rsidR="00000000" w:rsidDel="00000000" w:rsidP="00000000" w:rsidRDefault="00000000" w:rsidRPr="00000000" w14:paraId="000000B8">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w:t>
            </w:r>
          </w:p>
        </w:tc>
        <w:tc>
          <w:tcPr>
            <w:gridSpan w:val="2"/>
            <w:vAlign w:val="center"/>
          </w:tcPr>
          <w:p w:rsidR="00000000" w:rsidDel="00000000" w:rsidP="00000000" w:rsidRDefault="00000000" w:rsidRPr="00000000" w14:paraId="000000B9">
            <w:pPr>
              <w:tabs>
                <w:tab w:val="left" w:leader="none" w:pos="567"/>
              </w:tabs>
              <w:rPr>
                <w:rFonts w:ascii="Times New Roman" w:cs="Times New Roman" w:eastAsia="Times New Roman" w:hAnsi="Times New Roman"/>
                <w:i w:val="0"/>
                <w:iCs w:val="0"/>
                <w:sz w:val="20"/>
                <w:szCs w:val="20"/>
                <w:vertAlign w:val="baseline"/>
              </w:rPr>
            </w:pPr>
            <w:r w:rsidDel="00000000" w:rsidR="00000000" w:rsidRPr="00000000">
              <w:rPr>
                <w:rtl w:val="0"/>
              </w:rPr>
            </w:r>
          </w:p>
        </w:tc>
        <w:tc>
          <w:tcPr>
            <w:vAlign w:val="center"/>
          </w:tcPr>
          <w:p w:rsidR="00000000" w:rsidDel="00000000" w:rsidP="00000000" w:rsidRDefault="00000000" w:rsidRPr="00000000" w14:paraId="000000BB">
            <w:pPr>
              <w:tabs>
                <w:tab w:val="left" w:leader="none" w:pos="567"/>
              </w:tabs>
              <w:rPr>
                <w:rFonts w:ascii="Times New Roman" w:cs="Times New Roman" w:eastAsia="Times New Roman" w:hAnsi="Times New Roman"/>
                <w:b w:val="0"/>
                <w:bCs w:val="0"/>
                <w:sz w:val="20"/>
                <w:szCs w:val="20"/>
                <w:vertAlign w:val="baseline"/>
              </w:rPr>
            </w:pPr>
            <w:r w:rsidDel="00000000" w:rsidR="00000000" w:rsidRPr="00000000">
              <w:rPr>
                <w:rtl w:val="0"/>
              </w:rPr>
            </w:r>
          </w:p>
        </w:tc>
      </w:tr>
    </w:tbl>
    <w:p w:rsidR="00000000" w:rsidDel="00000000" w:rsidP="00000000" w:rsidRDefault="00000000" w:rsidRPr="00000000" w14:paraId="000000BC">
      <w:pPr>
        <w:rPr>
          <w:rFonts w:ascii="Times New Roman" w:cs="Times New Roman" w:eastAsia="Times New Roman" w:hAnsi="Times New Roman"/>
          <w:sz w:val="20"/>
          <w:szCs w:val="20"/>
          <w:vertAlign w:val="baseline"/>
        </w:rPr>
      </w:pPr>
      <w:r w:rsidDel="00000000" w:rsidR="00000000" w:rsidRPr="00000000">
        <w:rPr>
          <w:rtl w:val="0"/>
        </w:rPr>
      </w:r>
    </w:p>
    <w:sectPr>
      <w:pgSz w:h="16839" w:w="11907" w:orient="portrait"/>
      <w:pgMar w:bottom="720" w:top="720" w:left="864" w:right="8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vertAlign w:val="baseline"/>
    </w:rPr>
  </w:style>
  <w:style w:type="paragraph" w:styleId="Heading2">
    <w:name w:val="heading 2"/>
    <w:basedOn w:val="Normal"/>
    <w:next w:val="Normal"/>
    <w:pPr/>
    <w:rPr>
      <w:rFonts w:ascii="Times New Roman" w:cs="Times New Roman" w:eastAsia="Times New Roman" w:hAnsi="Times New Roman"/>
      <w:b w:val="1"/>
      <w:bCs w:val="1"/>
      <w:sz w:val="36"/>
      <w:szCs w:val="36"/>
      <w:vertAlign w:val="baseline"/>
    </w:rPr>
  </w:style>
  <w:style w:type="paragraph" w:styleId="Heading3">
    <w:name w:val="heading 3"/>
    <w:basedOn w:val="Normal"/>
    <w:next w:val="Normal"/>
    <w:pPr/>
    <w:rPr>
      <w:rFonts w:ascii="Times New Roman" w:cs="Times New Roman" w:eastAsia="Times New Roman" w:hAnsi="Times New Roman"/>
      <w:b w:val="1"/>
      <w:bCs w:val="1"/>
      <w:sz w:val="27"/>
      <w:szCs w:val="27"/>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sHI3Zpv9eixeHOGiaargVXB/ig==">CgMxLjAyDmguM3hwcTg4NWY3eW5lOAByITE1Z2pZN2JwZGF4c2l1R1FzaFE2OXJ1Rmk4dElJUW5tMg==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